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120"/>
      </w:pPr>
      <w:r>
        <w:rPr>
          <w:rFonts w:ascii="Century Gothic" w:hAnsi="Century Gothic"/>
          <w:b/>
          <w:color w:val="D9A520"/>
          <w:sz w:val="20"/>
        </w:rPr>
        <w:t>MÓDULO 1 · MATERIAL DE AUDITORIA</w:t>
      </w:r>
    </w:p>
    <w:p>
      <w:pPr>
        <w:spacing w:after="100"/>
      </w:pPr>
      <w:r>
        <w:rPr>
          <w:rFonts w:ascii="Century Gothic" w:hAnsi="Century Gothic"/>
          <w:b/>
          <w:color w:val="006B4F"/>
          <w:sz w:val="44"/>
        </w:rPr>
        <w:t>SOLICITAÇÃO DE DOCUMENTOS PARA ANÁLISE TÉCNICA DAS DIVERGÊNCIAS DO RPPS</w:t>
      </w:r>
    </w:p>
    <w:p>
      <w:pPr>
        <w:spacing w:after="320"/>
      </w:pPr>
      <w:r>
        <w:rPr>
          <w:rFonts w:ascii="Century Gothic" w:hAnsi="Century Gothic"/>
          <w:i/>
          <w:color w:val="5E6C66"/>
          <w:sz w:val="24"/>
        </w:rPr>
        <w:t>Conciliação entre valores devidos, contabilizados e efetivamente recolhidos</w:t>
      </w:r>
    </w:p>
    <w:p>
      <w:pPr>
        <w:spacing w:after="60"/>
      </w:pPr>
      <w:r>
        <w:rPr>
          <w:rFonts w:ascii="Century Gothic" w:hAnsi="Century Gothic"/>
          <w:b/>
          <w:color w:val="004A38"/>
          <w:sz w:val="20"/>
        </w:rPr>
        <w:t xml:space="preserve">Município / ente: </w:t>
      </w:r>
      <w:r>
        <w:rPr>
          <w:rFonts w:ascii="Century Gothic" w:hAnsi="Century Gothic"/>
          <w:color w:val="5E6C66"/>
          <w:sz w:val="20"/>
        </w:rPr>
        <w:t>____________________________________________________________</w:t>
      </w:r>
    </w:p>
    <w:p>
      <w:pPr>
        <w:spacing w:after="60"/>
      </w:pPr>
      <w:r>
        <w:rPr>
          <w:rFonts w:ascii="Century Gothic" w:hAnsi="Century Gothic"/>
          <w:b/>
          <w:color w:val="004A38"/>
          <w:sz w:val="20"/>
        </w:rPr>
        <w:t xml:space="preserve">Unidade gestora do RPPS: </w:t>
      </w:r>
      <w:r>
        <w:rPr>
          <w:rFonts w:ascii="Century Gothic" w:hAnsi="Century Gothic"/>
          <w:color w:val="5E6C66"/>
          <w:sz w:val="20"/>
        </w:rPr>
        <w:t>_____________________________________________________</w:t>
      </w:r>
    </w:p>
    <w:p>
      <w:pPr>
        <w:spacing w:after="60"/>
      </w:pPr>
      <w:r>
        <w:rPr>
          <w:rFonts w:ascii="Century Gothic" w:hAnsi="Century Gothic"/>
          <w:b/>
          <w:color w:val="004A38"/>
          <w:sz w:val="20"/>
        </w:rPr>
        <w:t xml:space="preserve">Período analisado: </w:t>
      </w:r>
      <w:r>
        <w:rPr>
          <w:rFonts w:ascii="Century Gothic" w:hAnsi="Century Gothic"/>
          <w:color w:val="5E6C66"/>
          <w:sz w:val="20"/>
        </w:rPr>
        <w:t>________________________  Data da solicitação: ____/____/______</w:t>
      </w:r>
    </w:p>
    <w:p>
      <w:pPr>
        <w:spacing w:after="60"/>
      </w:pPr>
      <w:r>
        <w:rPr>
          <w:rFonts w:ascii="Century Gothic" w:hAnsi="Century Gothic"/>
          <w:b/>
          <w:color w:val="004A38"/>
          <w:sz w:val="20"/>
        </w:rPr>
        <w:t xml:space="preserve">Responsável pelo atendimento: </w:t>
      </w:r>
      <w:r>
        <w:rPr>
          <w:rFonts w:ascii="Century Gothic" w:hAnsi="Century Gothic"/>
          <w:color w:val="5E6C66"/>
          <w:sz w:val="20"/>
        </w:rPr>
        <w:t>_________________________________________________</w:t>
      </w:r>
    </w:p>
    <w:p>
      <w:pPr>
        <w:spacing w:before="240" w:after="200" w:line="300" w:lineRule="auto"/>
        <w:ind w:left="173" w:right="173"/>
        <w:shd w:fill="EAF4EF"/>
        <w:pBdr>
          <w:left w:val="single" w:sz="18" w:space="8" w:color="006B4F"/>
        </w:pBdr>
      </w:pPr>
      <w:r>
        <w:rPr>
          <w:rFonts w:ascii="Century Gothic" w:hAnsi="Century Gothic"/>
          <w:b/>
          <w:color w:val="006B4F"/>
          <w:sz w:val="20"/>
        </w:rPr>
        <w:t>OBJETIVO DA SOLICITAÇÃO</w:t>
        <w:br/>
      </w:r>
      <w:r>
        <w:rPr>
          <w:rFonts w:ascii="Century Gothic" w:hAnsi="Century Gothic"/>
          <w:color w:val="004A38"/>
          <w:sz w:val="21"/>
        </w:rPr>
        <w:t>Reunir evidências suficientes para conciliar, por competência e por entidade, a base contributiva, as obrigações patronais e dos segurados, os registros contábeis, os repasses financeiros e os dados declarados no CADPREV/DIPR.</w:t>
      </w:r>
    </w:p>
    <w:p>
      <w:pPr>
        <w:pStyle w:val="Heading1"/>
      </w:pPr>
      <w:r>
        <w:t>Orientações para entrega</w:t>
      </w:r>
    </w:p>
    <w:p>
      <w:pPr>
        <w:pStyle w:val="ListBullet"/>
        <w:spacing w:after="80" w:line="300" w:lineRule="auto"/>
        <w:ind w:left="540" w:hanging="271"/>
      </w:pPr>
      <w:r>
        <w:rPr>
          <w:rFonts w:ascii="Century Gothic" w:hAnsi="Century Gothic"/>
          <w:sz w:val="21"/>
        </w:rPr>
        <w:t>Apresentar os documentos por competência mensal e por entidade vinculada ao Município.</w:t>
      </w:r>
    </w:p>
    <w:p>
      <w:pPr>
        <w:pStyle w:val="ListBullet"/>
        <w:spacing w:after="80" w:line="300" w:lineRule="auto"/>
        <w:ind w:left="540" w:hanging="271"/>
      </w:pPr>
      <w:r>
        <w:rPr>
          <w:rFonts w:ascii="Century Gothic" w:hAnsi="Century Gothic"/>
          <w:sz w:val="21"/>
        </w:rPr>
        <w:t>Identificar, quando aplicável, a fonte/destinação de recursos, a conta contábil, o banco e o número da guia.</w:t>
      </w:r>
    </w:p>
    <w:p>
      <w:pPr>
        <w:pStyle w:val="ListBullet"/>
        <w:spacing w:after="80" w:line="300" w:lineRule="auto"/>
        <w:ind w:left="540" w:hanging="271"/>
      </w:pPr>
      <w:r>
        <w:rPr>
          <w:rFonts w:ascii="Century Gothic" w:hAnsi="Century Gothic"/>
          <w:sz w:val="21"/>
        </w:rPr>
        <w:t>Disponibilizar arquivos preferencialmente em formato pesquisável ou editável, preservando os documentos originais.</w:t>
      </w:r>
    </w:p>
    <w:p>
      <w:pPr>
        <w:pStyle w:val="ListBullet"/>
        <w:spacing w:after="80" w:line="300" w:lineRule="auto"/>
        <w:ind w:left="540" w:hanging="271"/>
      </w:pPr>
      <w:r>
        <w:rPr>
          <w:rFonts w:ascii="Century Gothic" w:hAnsi="Century Gothic"/>
          <w:sz w:val="21"/>
        </w:rPr>
        <w:t>Quando algum documento não existir ou não estiver disponível, apresentar justificativa formal e indicar fonte alternativa.</w:t>
      </w:r>
    </w:p>
    <w:p>
      <w:pPr>
        <w:pStyle w:val="ListBullet"/>
        <w:spacing w:after="80" w:line="300" w:lineRule="auto"/>
        <w:ind w:left="540" w:hanging="271"/>
      </w:pPr>
      <w:r>
        <w:rPr>
          <w:rFonts w:ascii="Century Gothic" w:hAnsi="Century Gothic"/>
          <w:sz w:val="21"/>
        </w:rPr>
        <w:t>Os valores devem permitir a conciliação entre folha, guia, contabilidade do ente, contabilidade do RPPS, banco e CADPREV/DIPR.</w:t>
      </w:r>
    </w:p>
    <w:p>
      <w:pPr>
        <w:pStyle w:val="Heading1"/>
      </w:pPr>
      <w:r>
        <w:t>Documentos e evidências a solicitar</w:t>
      </w:r>
    </w:p>
    <w:p>
      <w:pPr>
        <w:pStyle w:val="ItemTitle"/>
        <w:numPr>
          <w:ilvl w:val="0"/>
          <w:numId w:val="31"/>
        </w:numPr>
      </w:pPr>
      <w:r>
        <w:rPr>
          <w:rFonts w:ascii="Century Gothic" w:hAnsi="Century Gothic"/>
          <w:b/>
          <w:color w:val="004A38"/>
          <w:sz w:val="22"/>
        </w:rPr>
        <w:t>Resumo mensal da folha dos servidores vinculados ao RPPS</w:t>
      </w:r>
    </w:p>
    <w:p>
      <w:pPr>
        <w:pStyle w:val="ItemPurpose"/>
        <w:keepNext/>
        <w:ind w:left="547"/>
      </w:pPr>
      <w:r>
        <w:t>Deve conter valor bruto da folha, base de cálculo do RPPS, contribuição patronal, contribuição dos segurados e demais contribuições e deduções, se houver.</w:t>
      </w:r>
    </w:p>
    <w:p>
      <w:pPr>
        <w:pStyle w:val="ItemMeta"/>
        <w:ind w:left="547"/>
      </w:pPr>
      <w:r>
        <w:rPr>
          <w:rFonts w:ascii="Century Gothic" w:hAnsi="Century Gothic"/>
          <w:b/>
          <w:color w:val="006B4F"/>
          <w:sz w:val="19"/>
        </w:rPr>
        <w:t xml:space="preserve">Responsável / origem: </w:t>
      </w:r>
      <w:r>
        <w:rPr>
          <w:rFonts w:ascii="Century Gothic" w:hAnsi="Century Gothic"/>
          <w:color w:val="5E6C66"/>
          <w:sz w:val="19"/>
        </w:rPr>
        <w:t>Prefeitura, Câmara, autarquias, fundações, RPPS e demais entidades com servidores vinculados.</w:t>
      </w:r>
    </w:p>
    <w:p>
      <w:pPr>
        <w:pStyle w:val="ItemMeta"/>
        <w:ind w:left="547"/>
      </w:pPr>
      <w:r>
        <w:rPr>
          <w:rFonts w:ascii="Century Gothic" w:hAnsi="Century Gothic"/>
          <w:b/>
          <w:color w:val="006B4F"/>
          <w:sz w:val="19"/>
        </w:rPr>
        <w:t xml:space="preserve">Referência: </w:t>
      </w:r>
      <w:r>
        <w:rPr>
          <w:rFonts w:ascii="Century Gothic" w:hAnsi="Century Gothic"/>
          <w:color w:val="5E6C66"/>
          <w:sz w:val="19"/>
        </w:rPr>
        <w:t>Mensal, para todo o período analisado.</w:t>
      </w:r>
    </w:p>
    <w:p>
      <w:pPr>
        <w:pStyle w:val="ItemPurpose"/>
        <w:keepLines/>
        <w:ind w:left="547"/>
        <w:shd w:fill="EAF4EF"/>
      </w:pPr>
      <w:r>
        <w:rPr>
          <w:rFonts w:ascii="Century Gothic" w:hAnsi="Century Gothic"/>
          <w:b/>
          <w:color w:val="006B4F"/>
          <w:sz w:val="19"/>
        </w:rPr>
        <w:t xml:space="preserve">Finalidade técnica: </w:t>
      </w:r>
      <w:r>
        <w:rPr>
          <w:rFonts w:ascii="Century Gothic" w:hAnsi="Century Gothic"/>
          <w:color w:val="004A38"/>
          <w:sz w:val="19"/>
        </w:rPr>
        <w:t>Reconstituir a base contributiva e calcular os valores devidos por entidade e competência.</w:t>
      </w:r>
    </w:p>
    <w:p>
      <w:pPr>
        <w:pStyle w:val="ItemTitle"/>
        <w:numPr>
          <w:ilvl w:val="0"/>
          <w:numId w:val="31"/>
        </w:numPr>
      </w:pPr>
      <w:r>
        <w:rPr>
          <w:rFonts w:ascii="Century Gothic" w:hAnsi="Century Gothic"/>
          <w:b/>
          <w:color w:val="004A38"/>
          <w:sz w:val="22"/>
        </w:rPr>
        <w:t>Programa de contribuição e alíquotas devidas</w:t>
      </w:r>
    </w:p>
    <w:p>
      <w:pPr>
        <w:pStyle w:val="ItemPurpose"/>
        <w:keepNext/>
        <w:ind w:left="547"/>
      </w:pPr>
      <w:r>
        <w:t>Apresentar a programação aplicável às contribuições patronais e dos segurados, incluindo alíquotas normais, suplementares e demais aportes, quando existentes.</w:t>
      </w:r>
    </w:p>
    <w:p>
      <w:pPr>
        <w:pStyle w:val="ItemMeta"/>
        <w:ind w:left="547"/>
      </w:pPr>
      <w:r>
        <w:rPr>
          <w:rFonts w:ascii="Century Gothic" w:hAnsi="Century Gothic"/>
          <w:b/>
          <w:color w:val="006B4F"/>
          <w:sz w:val="19"/>
        </w:rPr>
        <w:t xml:space="preserve">Responsável / origem: </w:t>
      </w:r>
      <w:r>
        <w:rPr>
          <w:rFonts w:ascii="Century Gothic" w:hAnsi="Century Gothic"/>
          <w:color w:val="5E6C66"/>
          <w:sz w:val="19"/>
        </w:rPr>
        <w:t>RPPS e ente instituidor.</w:t>
      </w:r>
    </w:p>
    <w:p>
      <w:pPr>
        <w:pStyle w:val="ItemMeta"/>
        <w:ind w:left="547"/>
      </w:pPr>
      <w:r>
        <w:rPr>
          <w:rFonts w:ascii="Century Gothic" w:hAnsi="Century Gothic"/>
          <w:b/>
          <w:color w:val="006B4F"/>
          <w:sz w:val="19"/>
        </w:rPr>
        <w:t xml:space="preserve">Referência: </w:t>
      </w:r>
      <w:r>
        <w:rPr>
          <w:rFonts w:ascii="Century Gothic" w:hAnsi="Century Gothic"/>
          <w:color w:val="5E6C66"/>
          <w:sz w:val="19"/>
        </w:rPr>
        <w:t>Legislação e parâmetros vigentes em cada competência.</w:t>
      </w:r>
    </w:p>
    <w:p>
      <w:pPr>
        <w:pStyle w:val="ItemPurpose"/>
        <w:keepLines/>
        <w:ind w:left="547"/>
        <w:shd w:fill="EAF4EF"/>
      </w:pPr>
      <w:r>
        <w:rPr>
          <w:rFonts w:ascii="Century Gothic" w:hAnsi="Century Gothic"/>
          <w:b/>
          <w:color w:val="006B4F"/>
          <w:sz w:val="19"/>
        </w:rPr>
        <w:t xml:space="preserve">Finalidade técnica: </w:t>
      </w:r>
      <w:r>
        <w:rPr>
          <w:rFonts w:ascii="Century Gothic" w:hAnsi="Century Gothic"/>
          <w:color w:val="004A38"/>
          <w:sz w:val="19"/>
        </w:rPr>
        <w:t>Validar as alíquotas utilizadas no cálculo da folha, das guias e dos registros contábeis.</w:t>
      </w:r>
    </w:p>
    <w:p>
      <w:pPr>
        <w:pStyle w:val="ItemTitle"/>
        <w:numPr>
          <w:ilvl w:val="0"/>
          <w:numId w:val="31"/>
        </w:numPr>
      </w:pPr>
      <w:r>
        <w:rPr>
          <w:rFonts w:ascii="Century Gothic" w:hAnsi="Century Gothic"/>
          <w:b/>
          <w:color w:val="004A38"/>
          <w:sz w:val="22"/>
        </w:rPr>
        <w:t>Guias de recolhimento das obrigações previdenciárias</w:t>
      </w:r>
    </w:p>
    <w:p>
      <w:pPr>
        <w:pStyle w:val="ItemPurpose"/>
        <w:keepNext/>
        <w:ind w:left="547"/>
      </w:pPr>
      <w:r>
        <w:t>Incluir guias referentes à contribuição patronal e à contribuição dos segurados, acompanhadas dos respectivos comprovantes de pagamento ou transferência.</w:t>
      </w:r>
    </w:p>
    <w:p>
      <w:pPr>
        <w:pStyle w:val="ItemMeta"/>
        <w:ind w:left="547"/>
      </w:pPr>
      <w:r>
        <w:rPr>
          <w:rFonts w:ascii="Century Gothic" w:hAnsi="Century Gothic"/>
          <w:b/>
          <w:color w:val="006B4F"/>
          <w:sz w:val="19"/>
        </w:rPr>
        <w:t xml:space="preserve">Responsável / origem: </w:t>
      </w:r>
      <w:r>
        <w:rPr>
          <w:rFonts w:ascii="Century Gothic" w:hAnsi="Century Gothic"/>
          <w:color w:val="5E6C66"/>
          <w:sz w:val="19"/>
        </w:rPr>
        <w:t>Prefeitura, Câmara, autarquias, fundações e demais entidades repassadoras.</w:t>
      </w:r>
    </w:p>
    <w:p>
      <w:pPr>
        <w:pStyle w:val="ItemMeta"/>
        <w:ind w:left="547"/>
      </w:pPr>
      <w:r>
        <w:rPr>
          <w:rFonts w:ascii="Century Gothic" w:hAnsi="Century Gothic"/>
          <w:b/>
          <w:color w:val="006B4F"/>
          <w:sz w:val="19"/>
        </w:rPr>
        <w:t xml:space="preserve">Referência: </w:t>
      </w:r>
      <w:r>
        <w:rPr>
          <w:rFonts w:ascii="Century Gothic" w:hAnsi="Century Gothic"/>
          <w:color w:val="5E6C66"/>
          <w:sz w:val="19"/>
        </w:rPr>
        <w:t>Mensal, por competência e tipo de obrigação.</w:t>
      </w:r>
    </w:p>
    <w:p>
      <w:pPr>
        <w:pStyle w:val="ItemPurpose"/>
        <w:keepLines/>
        <w:ind w:left="547"/>
        <w:shd w:fill="EAF4EF"/>
      </w:pPr>
      <w:r>
        <w:rPr>
          <w:rFonts w:ascii="Century Gothic" w:hAnsi="Century Gothic"/>
          <w:b/>
          <w:color w:val="006B4F"/>
          <w:sz w:val="19"/>
        </w:rPr>
        <w:t xml:space="preserve">Finalidade técnica: </w:t>
      </w:r>
      <w:r>
        <w:rPr>
          <w:rFonts w:ascii="Century Gothic" w:hAnsi="Century Gothic"/>
          <w:color w:val="004A38"/>
          <w:sz w:val="19"/>
        </w:rPr>
        <w:t>Confrontar o valor apurado na folha com o valor formalizado e efetivamente recolhido ao RPPS.</w:t>
      </w:r>
    </w:p>
    <w:p>
      <w:pPr>
        <w:pStyle w:val="ItemTitle"/>
        <w:numPr>
          <w:ilvl w:val="0"/>
          <w:numId w:val="31"/>
        </w:numPr>
      </w:pPr>
      <w:r>
        <w:rPr>
          <w:rFonts w:ascii="Century Gothic" w:hAnsi="Century Gothic"/>
          <w:b/>
          <w:color w:val="004A38"/>
          <w:sz w:val="22"/>
        </w:rPr>
        <w:t>Guias ou documentos de transferências financeiras concedidas</w:t>
      </w:r>
    </w:p>
    <w:p>
      <w:pPr>
        <w:pStyle w:val="ItemPurpose"/>
        <w:keepNext/>
        <w:ind w:left="547"/>
      </w:pPr>
      <w:r>
        <w:t>Apresentar guias, ordens bancárias, notas de transferência ou documentos equivalentes referentes aos recursos financeiros transferidos ao RPPS.</w:t>
      </w:r>
    </w:p>
    <w:p>
      <w:pPr>
        <w:pStyle w:val="ItemMeta"/>
        <w:ind w:left="547"/>
      </w:pPr>
      <w:r>
        <w:rPr>
          <w:rFonts w:ascii="Century Gothic" w:hAnsi="Century Gothic"/>
          <w:b/>
          <w:color w:val="006B4F"/>
          <w:sz w:val="19"/>
        </w:rPr>
        <w:t xml:space="preserve">Responsável / origem: </w:t>
      </w:r>
      <w:r>
        <w:rPr>
          <w:rFonts w:ascii="Century Gothic" w:hAnsi="Century Gothic"/>
          <w:color w:val="5E6C66"/>
          <w:sz w:val="19"/>
        </w:rPr>
        <w:t>Prefeitura e demais entidades que efetuem transferências financeiras.</w:t>
      </w:r>
    </w:p>
    <w:p>
      <w:pPr>
        <w:pStyle w:val="ItemMeta"/>
        <w:ind w:left="547"/>
      </w:pPr>
      <w:r>
        <w:rPr>
          <w:rFonts w:ascii="Century Gothic" w:hAnsi="Century Gothic"/>
          <w:b/>
          <w:color w:val="006B4F"/>
          <w:sz w:val="19"/>
        </w:rPr>
        <w:t xml:space="preserve">Referência: </w:t>
      </w:r>
      <w:r>
        <w:rPr>
          <w:rFonts w:ascii="Century Gothic" w:hAnsi="Century Gothic"/>
          <w:color w:val="5E6C66"/>
          <w:sz w:val="19"/>
        </w:rPr>
        <w:t>Por ocorrência, com identificação da finalidade e competência.</w:t>
      </w:r>
    </w:p>
    <w:p>
      <w:pPr>
        <w:pStyle w:val="ItemPurpose"/>
        <w:keepLines/>
        <w:ind w:left="547"/>
        <w:shd w:fill="EAF4EF"/>
      </w:pPr>
      <w:r>
        <w:rPr>
          <w:rFonts w:ascii="Century Gothic" w:hAnsi="Century Gothic"/>
          <w:b/>
          <w:color w:val="006B4F"/>
          <w:sz w:val="19"/>
        </w:rPr>
        <w:t xml:space="preserve">Finalidade técnica: </w:t>
      </w:r>
      <w:r>
        <w:rPr>
          <w:rFonts w:ascii="Century Gothic" w:hAnsi="Century Gothic"/>
          <w:color w:val="004A38"/>
          <w:sz w:val="19"/>
        </w:rPr>
        <w:t>Distinguir contribuições previdenciárias de aportes, cobertura de insuficiência financeira e outras transferências.</w:t>
      </w:r>
    </w:p>
    <w:p>
      <w:pPr>
        <w:pStyle w:val="ItemTitle"/>
        <w:numPr>
          <w:ilvl w:val="0"/>
          <w:numId w:val="31"/>
        </w:numPr>
      </w:pPr>
      <w:r>
        <w:rPr>
          <w:rFonts w:ascii="Century Gothic" w:hAnsi="Century Gothic"/>
          <w:b/>
          <w:color w:val="004A38"/>
          <w:sz w:val="22"/>
        </w:rPr>
        <w:t>Demonstrativo da despesa por categoria, grupo ou elemento</w:t>
      </w:r>
    </w:p>
    <w:p>
      <w:pPr>
        <w:pStyle w:val="ItemPurpose"/>
        <w:keepNext/>
        <w:ind w:left="547"/>
      </w:pPr>
      <w:r>
        <w:t>Apresentar demonstrativo com detalhamento do elemento de despesa das entidades repassadoras, especialmente a execução orçamentária das obrigações patronais.</w:t>
      </w:r>
    </w:p>
    <w:p>
      <w:pPr>
        <w:pStyle w:val="ItemMeta"/>
        <w:ind w:left="547"/>
      </w:pPr>
      <w:r>
        <w:rPr>
          <w:rFonts w:ascii="Century Gothic" w:hAnsi="Century Gothic"/>
          <w:b/>
          <w:color w:val="006B4F"/>
          <w:sz w:val="19"/>
        </w:rPr>
        <w:t xml:space="preserve">Responsável / origem: </w:t>
      </w:r>
      <w:r>
        <w:rPr>
          <w:rFonts w:ascii="Century Gothic" w:hAnsi="Century Gothic"/>
          <w:color w:val="5E6C66"/>
          <w:sz w:val="19"/>
        </w:rPr>
        <w:t>Prefeitura, Câmara, autarquias, fundações e demais entidades repassadoras.</w:t>
      </w:r>
    </w:p>
    <w:p>
      <w:pPr>
        <w:pStyle w:val="ItemMeta"/>
        <w:ind w:left="547"/>
      </w:pPr>
      <w:r>
        <w:rPr>
          <w:rFonts w:ascii="Century Gothic" w:hAnsi="Century Gothic"/>
          <w:b/>
          <w:color w:val="006B4F"/>
          <w:sz w:val="19"/>
        </w:rPr>
        <w:t xml:space="preserve">Referência: </w:t>
      </w:r>
      <w:r>
        <w:rPr>
          <w:rFonts w:ascii="Century Gothic" w:hAnsi="Century Gothic"/>
          <w:color w:val="5E6C66"/>
          <w:sz w:val="19"/>
        </w:rPr>
        <w:t>Mensal e acumulado no exercício.</w:t>
      </w:r>
    </w:p>
    <w:p>
      <w:pPr>
        <w:pStyle w:val="ItemPurpose"/>
        <w:keepLines/>
        <w:ind w:left="547"/>
        <w:shd w:fill="EAF4EF"/>
      </w:pPr>
      <w:r>
        <w:rPr>
          <w:rFonts w:ascii="Century Gothic" w:hAnsi="Century Gothic"/>
          <w:b/>
          <w:color w:val="006B4F"/>
          <w:sz w:val="19"/>
        </w:rPr>
        <w:t xml:space="preserve">Finalidade técnica: </w:t>
      </w:r>
      <w:r>
        <w:rPr>
          <w:rFonts w:ascii="Century Gothic" w:hAnsi="Century Gothic"/>
          <w:color w:val="004A38"/>
          <w:sz w:val="19"/>
        </w:rPr>
        <w:t>Verificar empenho, liquidação e pagamento das contribuições patronais e sua compatibilidade com folha, guias e razão.</w:t>
      </w:r>
    </w:p>
    <w:p>
      <w:pPr>
        <w:pStyle w:val="ItemTitle"/>
        <w:numPr>
          <w:ilvl w:val="0"/>
          <w:numId w:val="31"/>
        </w:numPr>
      </w:pPr>
      <w:r>
        <w:rPr>
          <w:rFonts w:ascii="Century Gothic" w:hAnsi="Century Gothic"/>
          <w:b/>
          <w:color w:val="004A38"/>
          <w:sz w:val="22"/>
        </w:rPr>
        <w:t>Demonstrativo de ingressos e desembolsos extraorçamentários</w:t>
      </w:r>
    </w:p>
    <w:p>
      <w:pPr>
        <w:pStyle w:val="ItemPurpose"/>
        <w:keepNext/>
        <w:ind w:left="547"/>
      </w:pPr>
      <w:r>
        <w:t>Apresentar as contas específicas utilizadas para retenção, ingresso, repasse e saldo das contribuições dos segurados.</w:t>
      </w:r>
    </w:p>
    <w:p>
      <w:pPr>
        <w:pStyle w:val="ItemMeta"/>
        <w:ind w:left="547"/>
      </w:pPr>
      <w:r>
        <w:rPr>
          <w:rFonts w:ascii="Century Gothic" w:hAnsi="Century Gothic"/>
          <w:b/>
          <w:color w:val="006B4F"/>
          <w:sz w:val="19"/>
        </w:rPr>
        <w:t xml:space="preserve">Responsável / origem: </w:t>
      </w:r>
      <w:r>
        <w:rPr>
          <w:rFonts w:ascii="Century Gothic" w:hAnsi="Century Gothic"/>
          <w:color w:val="5E6C66"/>
          <w:sz w:val="19"/>
        </w:rPr>
        <w:t>Prefeitura, Câmara, autarquias, fundações e demais entidades repassadoras.</w:t>
      </w:r>
    </w:p>
    <w:p>
      <w:pPr>
        <w:pStyle w:val="ItemMeta"/>
        <w:ind w:left="547"/>
      </w:pPr>
      <w:r>
        <w:rPr>
          <w:rFonts w:ascii="Century Gothic" w:hAnsi="Century Gothic"/>
          <w:b/>
          <w:color w:val="006B4F"/>
          <w:sz w:val="19"/>
        </w:rPr>
        <w:t xml:space="preserve">Referência: </w:t>
      </w:r>
      <w:r>
        <w:rPr>
          <w:rFonts w:ascii="Century Gothic" w:hAnsi="Century Gothic"/>
          <w:color w:val="5E6C66"/>
          <w:sz w:val="19"/>
        </w:rPr>
        <w:t>Mensal e acumulado no exercício.</w:t>
      </w:r>
    </w:p>
    <w:p>
      <w:pPr>
        <w:pStyle w:val="ItemPurpose"/>
        <w:keepLines/>
        <w:ind w:left="547"/>
        <w:shd w:fill="EAF4EF"/>
      </w:pPr>
      <w:r>
        <w:rPr>
          <w:rFonts w:ascii="Century Gothic" w:hAnsi="Century Gothic"/>
          <w:b/>
          <w:color w:val="006B4F"/>
          <w:sz w:val="19"/>
        </w:rPr>
        <w:t xml:space="preserve">Finalidade técnica: </w:t>
      </w:r>
      <w:r>
        <w:rPr>
          <w:rFonts w:ascii="Century Gothic" w:hAnsi="Century Gothic"/>
          <w:color w:val="004A38"/>
          <w:sz w:val="19"/>
        </w:rPr>
        <w:t>Conciliar as retenções dos segurados com os repasses ao RPPS e identificar saldos pendentes.</w:t>
      </w:r>
    </w:p>
    <w:p>
      <w:pPr>
        <w:pStyle w:val="ItemTitle"/>
        <w:numPr>
          <w:ilvl w:val="0"/>
          <w:numId w:val="31"/>
        </w:numPr>
      </w:pPr>
      <w:r>
        <w:rPr>
          <w:rFonts w:ascii="Century Gothic" w:hAnsi="Century Gothic"/>
          <w:b/>
          <w:color w:val="004A38"/>
          <w:sz w:val="22"/>
        </w:rPr>
        <w:t>Demonstrativo da receita por rubrica e fonte do RPPS</w:t>
      </w:r>
    </w:p>
    <w:p>
      <w:pPr>
        <w:pStyle w:val="ItemPurpose"/>
        <w:keepNext/>
        <w:ind w:left="547"/>
      </w:pPr>
      <w:r>
        <w:t>Apresentar a receita orçamentária detalhada por natureza, rubrica, fonte/destinação e competência, incluindo contribuições patronais, dos segurados, parcelamentos e aportes.</w:t>
      </w:r>
    </w:p>
    <w:p>
      <w:pPr>
        <w:pStyle w:val="ItemMeta"/>
        <w:ind w:left="547"/>
      </w:pPr>
      <w:r>
        <w:rPr>
          <w:rFonts w:ascii="Century Gothic" w:hAnsi="Century Gothic"/>
          <w:b/>
          <w:color w:val="006B4F"/>
          <w:sz w:val="19"/>
        </w:rPr>
        <w:t xml:space="preserve">Responsável / origem: </w:t>
      </w:r>
      <w:r>
        <w:rPr>
          <w:rFonts w:ascii="Century Gothic" w:hAnsi="Century Gothic"/>
          <w:color w:val="5E6C66"/>
          <w:sz w:val="19"/>
        </w:rPr>
        <w:t>Unidade gestora do RPPS.</w:t>
      </w:r>
    </w:p>
    <w:p>
      <w:pPr>
        <w:pStyle w:val="ItemMeta"/>
        <w:ind w:left="547"/>
      </w:pPr>
      <w:r>
        <w:rPr>
          <w:rFonts w:ascii="Century Gothic" w:hAnsi="Century Gothic"/>
          <w:b/>
          <w:color w:val="006B4F"/>
          <w:sz w:val="19"/>
        </w:rPr>
        <w:t xml:space="preserve">Referência: </w:t>
      </w:r>
      <w:r>
        <w:rPr>
          <w:rFonts w:ascii="Century Gothic" w:hAnsi="Century Gothic"/>
          <w:color w:val="5E6C66"/>
          <w:sz w:val="19"/>
        </w:rPr>
        <w:t>Mensal e acumulado no exercício.</w:t>
      </w:r>
    </w:p>
    <w:p>
      <w:pPr>
        <w:pStyle w:val="ItemPurpose"/>
        <w:keepLines/>
        <w:ind w:left="547"/>
        <w:shd w:fill="EAF4EF"/>
      </w:pPr>
      <w:r>
        <w:rPr>
          <w:rFonts w:ascii="Century Gothic" w:hAnsi="Century Gothic"/>
          <w:b/>
          <w:color w:val="006B4F"/>
          <w:sz w:val="19"/>
        </w:rPr>
        <w:t xml:space="preserve">Finalidade técnica: </w:t>
      </w:r>
      <w:r>
        <w:rPr>
          <w:rFonts w:ascii="Century Gothic" w:hAnsi="Century Gothic"/>
          <w:color w:val="004A38"/>
          <w:sz w:val="19"/>
        </w:rPr>
        <w:t>Confrontar as receitas reconhecidas e arrecadadas pelo RPPS com os valores registrados pelos entes repassadores.</w:t>
      </w:r>
    </w:p>
    <w:p>
      <w:pPr>
        <w:pStyle w:val="ItemTitle"/>
        <w:numPr>
          <w:ilvl w:val="0"/>
          <w:numId w:val="31"/>
        </w:numPr>
      </w:pPr>
      <w:r>
        <w:rPr>
          <w:rFonts w:ascii="Century Gothic" w:hAnsi="Century Gothic"/>
          <w:b/>
          <w:color w:val="004A38"/>
          <w:sz w:val="22"/>
        </w:rPr>
        <w:t>Demonstrativo das contas do razão</w:t>
      </w:r>
    </w:p>
    <w:p>
      <w:pPr>
        <w:pStyle w:val="ItemPurpose"/>
        <w:keepNext/>
        <w:ind w:left="547"/>
      </w:pPr>
      <w:r>
        <w:t>Apresentar os razões das contas relacionadas a obrigações patronais, retenções dos segurados, direitos a receber, receitas, VPA, bancos, transferências, parcelamentos e demais contas correlatas.</w:t>
      </w:r>
    </w:p>
    <w:p>
      <w:pPr>
        <w:pStyle w:val="ItemMeta"/>
        <w:ind w:left="547"/>
      </w:pPr>
      <w:r>
        <w:rPr>
          <w:rFonts w:ascii="Century Gothic" w:hAnsi="Century Gothic"/>
          <w:b/>
          <w:color w:val="006B4F"/>
          <w:sz w:val="19"/>
        </w:rPr>
        <w:t xml:space="preserve">Responsável / origem: </w:t>
      </w:r>
      <w:r>
        <w:rPr>
          <w:rFonts w:ascii="Century Gothic" w:hAnsi="Century Gothic"/>
          <w:color w:val="5E6C66"/>
          <w:sz w:val="19"/>
        </w:rPr>
        <w:t>RPPS, Prefeitura, Câmara e demais poderes, órgãos e entidades do Município.</w:t>
      </w:r>
    </w:p>
    <w:p>
      <w:pPr>
        <w:pStyle w:val="ItemMeta"/>
        <w:ind w:left="547"/>
      </w:pPr>
      <w:r>
        <w:rPr>
          <w:rFonts w:ascii="Century Gothic" w:hAnsi="Century Gothic"/>
          <w:b/>
          <w:color w:val="006B4F"/>
          <w:sz w:val="19"/>
        </w:rPr>
        <w:t xml:space="preserve">Referência: </w:t>
      </w:r>
      <w:r>
        <w:rPr>
          <w:rFonts w:ascii="Century Gothic" w:hAnsi="Century Gothic"/>
          <w:color w:val="5E6C66"/>
          <w:sz w:val="19"/>
        </w:rPr>
        <w:t>Analítico, por competência, conta contábil, fonte e contraparte.</w:t>
      </w:r>
    </w:p>
    <w:p>
      <w:pPr>
        <w:pStyle w:val="ItemPurpose"/>
        <w:keepLines/>
        <w:ind w:left="547"/>
        <w:shd w:fill="EAF4EF"/>
      </w:pPr>
      <w:r>
        <w:rPr>
          <w:rFonts w:ascii="Century Gothic" w:hAnsi="Century Gothic"/>
          <w:b/>
          <w:color w:val="006B4F"/>
          <w:sz w:val="19"/>
        </w:rPr>
        <w:t xml:space="preserve">Finalidade técnica: </w:t>
      </w:r>
      <w:r>
        <w:rPr>
          <w:rFonts w:ascii="Century Gothic" w:hAnsi="Century Gothic"/>
          <w:color w:val="004A38"/>
          <w:sz w:val="19"/>
        </w:rPr>
        <w:t>Reconstituir os lançamentos contábeis e conciliar ativo, passivo, VPD, VPA, receita, despesa e movimentação financeira.</w:t>
      </w:r>
    </w:p>
    <w:p>
      <w:pPr>
        <w:pStyle w:val="ItemTitle"/>
        <w:numPr>
          <w:ilvl w:val="0"/>
          <w:numId w:val="31"/>
        </w:numPr>
      </w:pPr>
      <w:r>
        <w:rPr>
          <w:rFonts w:ascii="Century Gothic" w:hAnsi="Century Gothic"/>
          <w:b/>
          <w:color w:val="004A38"/>
          <w:sz w:val="22"/>
        </w:rPr>
        <w:t>DIPR e demais informações disponíveis no CADPREV</w:t>
      </w:r>
    </w:p>
    <w:p>
      <w:pPr>
        <w:pStyle w:val="ItemPurpose"/>
        <w:keepNext/>
        <w:ind w:left="547"/>
      </w:pPr>
      <w:r>
        <w:t>Apresentar o Demonstrativo de Informações Previdenciárias e Repasses — DIPR, comprovantes de envio, retificações, notificações e demais demonstrativos disponíveis no CADPREV.</w:t>
      </w:r>
    </w:p>
    <w:p>
      <w:pPr>
        <w:pStyle w:val="ItemMeta"/>
        <w:ind w:left="547"/>
      </w:pPr>
      <w:r>
        <w:rPr>
          <w:rFonts w:ascii="Century Gothic" w:hAnsi="Century Gothic"/>
          <w:b/>
          <w:color w:val="006B4F"/>
          <w:sz w:val="19"/>
        </w:rPr>
        <w:t xml:space="preserve">Responsável / origem: </w:t>
      </w:r>
      <w:r>
        <w:rPr>
          <w:rFonts w:ascii="Century Gothic" w:hAnsi="Century Gothic"/>
          <w:color w:val="5E6C66"/>
          <w:sz w:val="19"/>
        </w:rPr>
        <w:t>Unidade gestora do RPPS e responsáveis pelas declarações.</w:t>
      </w:r>
    </w:p>
    <w:p>
      <w:pPr>
        <w:pStyle w:val="ItemMeta"/>
        <w:ind w:left="547"/>
      </w:pPr>
      <w:r>
        <w:rPr>
          <w:rFonts w:ascii="Century Gothic" w:hAnsi="Century Gothic"/>
          <w:b/>
          <w:color w:val="006B4F"/>
          <w:sz w:val="19"/>
        </w:rPr>
        <w:t xml:space="preserve">Referência: </w:t>
      </w:r>
      <w:r>
        <w:rPr>
          <w:rFonts w:ascii="Century Gothic" w:hAnsi="Century Gothic"/>
          <w:color w:val="5E6C66"/>
          <w:sz w:val="19"/>
        </w:rPr>
        <w:t>Conforme periodicidade do sistema, abrangendo todo o período analisado.</w:t>
      </w:r>
    </w:p>
    <w:p>
      <w:pPr>
        <w:pStyle w:val="ItemPurpose"/>
        <w:keepLines/>
        <w:ind w:left="547"/>
        <w:shd w:fill="EAF4EF"/>
      </w:pPr>
      <w:r>
        <w:rPr>
          <w:rFonts w:ascii="Century Gothic" w:hAnsi="Century Gothic"/>
          <w:b/>
          <w:color w:val="006B4F"/>
          <w:sz w:val="19"/>
        </w:rPr>
        <w:t xml:space="preserve">Finalidade técnica: </w:t>
      </w:r>
      <w:r>
        <w:rPr>
          <w:rFonts w:ascii="Century Gothic" w:hAnsi="Century Gothic"/>
          <w:color w:val="004A38"/>
          <w:sz w:val="19"/>
        </w:rPr>
        <w:t>Comparar os valores declarados ao órgão federal com folha, guias, contabilidade e banco.</w:t>
      </w:r>
    </w:p>
    <w:p>
      <w:pPr>
        <w:pStyle w:val="ItemTitle"/>
        <w:numPr>
          <w:ilvl w:val="0"/>
          <w:numId w:val="31"/>
        </w:numPr>
      </w:pPr>
      <w:r>
        <w:rPr>
          <w:rFonts w:ascii="Century Gothic" w:hAnsi="Century Gothic"/>
          <w:b/>
          <w:color w:val="004A38"/>
          <w:sz w:val="22"/>
        </w:rPr>
        <w:t>Relatório atual do período</w:t>
      </w:r>
    </w:p>
    <w:p>
      <w:pPr>
        <w:pStyle w:val="ItemPurpose"/>
        <w:keepNext/>
        <w:ind w:left="547"/>
      </w:pPr>
      <w:r>
        <w:t>Apresentar relatório gerencial ou relatório de posição atual do RPPS que evidencie contribuições devidas, recebidas, pendentes, parceladas e demais divergências por entidade e competência.</w:t>
      </w:r>
    </w:p>
    <w:p>
      <w:pPr>
        <w:pStyle w:val="ItemMeta"/>
        <w:ind w:left="547"/>
      </w:pPr>
      <w:r>
        <w:rPr>
          <w:rFonts w:ascii="Century Gothic" w:hAnsi="Century Gothic"/>
          <w:b/>
          <w:color w:val="006B4F"/>
          <w:sz w:val="19"/>
        </w:rPr>
        <w:t xml:space="preserve">Responsável / origem: </w:t>
      </w:r>
      <w:r>
        <w:rPr>
          <w:rFonts w:ascii="Century Gothic" w:hAnsi="Century Gothic"/>
          <w:color w:val="5E6C66"/>
          <w:sz w:val="19"/>
        </w:rPr>
        <w:t>Unidade gestora do RPPS.</w:t>
      </w:r>
    </w:p>
    <w:p>
      <w:pPr>
        <w:pStyle w:val="ItemMeta"/>
        <w:ind w:left="547"/>
      </w:pPr>
      <w:r>
        <w:rPr>
          <w:rFonts w:ascii="Century Gothic" w:hAnsi="Century Gothic"/>
          <w:b/>
          <w:color w:val="006B4F"/>
          <w:sz w:val="19"/>
        </w:rPr>
        <w:t xml:space="preserve">Referência: </w:t>
      </w:r>
      <w:r>
        <w:rPr>
          <w:rFonts w:ascii="Century Gothic" w:hAnsi="Century Gothic"/>
          <w:color w:val="5E6C66"/>
          <w:sz w:val="19"/>
        </w:rPr>
        <w:t>Atualizado até a data de corte da auditoria.</w:t>
      </w:r>
    </w:p>
    <w:p>
      <w:pPr>
        <w:pStyle w:val="ItemPurpose"/>
        <w:keepLines/>
        <w:ind w:left="547"/>
        <w:shd w:fill="EAF4EF"/>
      </w:pPr>
      <w:r>
        <w:rPr>
          <w:rFonts w:ascii="Century Gothic" w:hAnsi="Century Gothic"/>
          <w:b/>
          <w:color w:val="006B4F"/>
          <w:sz w:val="19"/>
        </w:rPr>
        <w:t xml:space="preserve">Finalidade técnica: </w:t>
      </w:r>
      <w:r>
        <w:rPr>
          <w:rFonts w:ascii="Century Gothic" w:hAnsi="Century Gothic"/>
          <w:color w:val="004A38"/>
          <w:sz w:val="19"/>
        </w:rPr>
        <w:t>Obter a posição consolidada das obrigações e direcionar os testes de divergência e atraso.</w:t>
      </w:r>
    </w:p>
    <w:p>
      <w:pPr>
        <w:pStyle w:val="ItemTitle"/>
        <w:numPr>
          <w:ilvl w:val="0"/>
          <w:numId w:val="31"/>
        </w:numPr>
      </w:pPr>
      <w:r>
        <w:rPr>
          <w:rFonts w:ascii="Century Gothic" w:hAnsi="Century Gothic"/>
          <w:b/>
          <w:color w:val="004A38"/>
          <w:sz w:val="22"/>
        </w:rPr>
        <w:t>Termos, legislação autorizativa e extratos de parcelamento</w:t>
      </w:r>
    </w:p>
    <w:p>
      <w:pPr>
        <w:pStyle w:val="ItemPurpose"/>
        <w:keepNext/>
        <w:ind w:left="547"/>
      </w:pPr>
      <w:r>
        <w:t>Quando houver parcelamento, apresentar lei autorizativa, termo ou acordo, demonstrativo de consolidação, cronograma, extratos de saldo, guias e comprovantes das parcelas pagas.</w:t>
      </w:r>
    </w:p>
    <w:p>
      <w:pPr>
        <w:pStyle w:val="ItemMeta"/>
        <w:ind w:left="547"/>
      </w:pPr>
      <w:r>
        <w:rPr>
          <w:rFonts w:ascii="Century Gothic" w:hAnsi="Century Gothic"/>
          <w:b/>
          <w:color w:val="006B4F"/>
          <w:sz w:val="19"/>
        </w:rPr>
        <w:t xml:space="preserve">Responsável / origem: </w:t>
      </w:r>
      <w:r>
        <w:rPr>
          <w:rFonts w:ascii="Century Gothic" w:hAnsi="Century Gothic"/>
          <w:color w:val="5E6C66"/>
          <w:sz w:val="19"/>
        </w:rPr>
        <w:t>RPPS e ente devedor.</w:t>
      </w:r>
    </w:p>
    <w:p>
      <w:pPr>
        <w:pStyle w:val="ItemMeta"/>
        <w:ind w:left="547"/>
      </w:pPr>
      <w:r>
        <w:rPr>
          <w:rFonts w:ascii="Century Gothic" w:hAnsi="Century Gothic"/>
          <w:b/>
          <w:color w:val="006B4F"/>
          <w:sz w:val="19"/>
        </w:rPr>
        <w:t xml:space="preserve">Referência: </w:t>
      </w:r>
      <w:r>
        <w:rPr>
          <w:rFonts w:ascii="Century Gothic" w:hAnsi="Century Gothic"/>
          <w:color w:val="5E6C66"/>
          <w:sz w:val="19"/>
        </w:rPr>
        <w:t>Integral, incluindo alterações, reparcelamentos e posição atual.</w:t>
      </w:r>
    </w:p>
    <w:p>
      <w:pPr>
        <w:pStyle w:val="ItemPurpose"/>
        <w:keepLines/>
        <w:ind w:left="547"/>
        <w:shd w:fill="EAF4EF"/>
      </w:pPr>
      <w:r>
        <w:rPr>
          <w:rFonts w:ascii="Century Gothic" w:hAnsi="Century Gothic"/>
          <w:b/>
          <w:color w:val="006B4F"/>
          <w:sz w:val="19"/>
        </w:rPr>
        <w:t xml:space="preserve">Finalidade técnica: </w:t>
      </w:r>
      <w:r>
        <w:rPr>
          <w:rFonts w:ascii="Century Gothic" w:hAnsi="Century Gothic"/>
          <w:color w:val="004A38"/>
          <w:sz w:val="19"/>
        </w:rPr>
        <w:t>Validar origem do débito, principal, encargos, saldo, pagamentos e registros contábeis no ente e no RPPS.</w:t>
      </w:r>
    </w:p>
    <w:p>
      <w:pPr>
        <w:pStyle w:val="Heading1"/>
      </w:pPr>
      <w:r>
        <w:t>Controle de recebimento</w:t>
      </w:r>
    </w:p>
    <w:p>
      <w:pPr>
        <w:pStyle w:val="SmallNote"/>
      </w:pPr>
      <w:r>
        <w:t>Utilize o quadro abaixo para registrar a situação da documentação recebida. As pendências devem ser formalizadas e vinculadas ao respectivo papel de trabalho.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650"/>
        <w:gridCol w:w="4250"/>
        <w:gridCol w:w="800"/>
        <w:gridCol w:w="800"/>
        <w:gridCol w:w="2860"/>
      </w:tblGrid>
      <w:tr>
        <w:trPr>
          <w:tblHeader w:val="true"/>
        </w:trPr>
        <w:tc>
          <w:tcPr>
            <w:tcW w:type="dxa" w:w="650"/>
            <w:tcMar>
              <w:top w:w="90" w:type="dxa"/>
              <w:start w:w="120" w:type="dxa"/>
              <w:bottom w:w="90" w:type="dxa"/>
              <w:end w:w="120" w:type="dxa"/>
            </w:tcMar>
            <w:shd w:fill="006B4F"/>
            <w:vAlign w:val="center"/>
          </w:tcPr>
          <w:p>
            <w:pPr>
              <w:spacing w:after="0"/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Item</w:t>
            </w:r>
          </w:p>
        </w:tc>
        <w:tc>
          <w:tcPr>
            <w:tcW w:type="dxa" w:w="4250"/>
            <w:tcMar>
              <w:top w:w="90" w:type="dxa"/>
              <w:start w:w="120" w:type="dxa"/>
              <w:bottom w:w="90" w:type="dxa"/>
              <w:end w:w="120" w:type="dxa"/>
            </w:tcMar>
            <w:shd w:fill="006B4F"/>
            <w:vAlign w:val="center"/>
          </w:tcPr>
          <w:p>
            <w:pPr>
              <w:spacing w:after="0"/>
              <w:jc w:val="left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Documento / evidência</w:t>
            </w:r>
          </w:p>
        </w:tc>
        <w:tc>
          <w:tcPr>
            <w:tcW w:type="dxa" w:w="800"/>
            <w:tcMar>
              <w:top w:w="90" w:type="dxa"/>
              <w:start w:w="120" w:type="dxa"/>
              <w:bottom w:w="90" w:type="dxa"/>
              <w:end w:w="120" w:type="dxa"/>
            </w:tcMar>
            <w:shd w:fill="006B4F"/>
            <w:vAlign w:val="center"/>
          </w:tcPr>
          <w:p>
            <w:pPr>
              <w:spacing w:after="0"/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Rec.</w:t>
            </w:r>
          </w:p>
        </w:tc>
        <w:tc>
          <w:tcPr>
            <w:tcW w:type="dxa" w:w="800"/>
            <w:tcMar>
              <w:top w:w="90" w:type="dxa"/>
              <w:start w:w="120" w:type="dxa"/>
              <w:bottom w:w="90" w:type="dxa"/>
              <w:end w:w="120" w:type="dxa"/>
            </w:tcMar>
            <w:shd w:fill="006B4F"/>
            <w:vAlign w:val="center"/>
          </w:tcPr>
          <w:p>
            <w:pPr>
              <w:spacing w:after="0"/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Pend.</w:t>
            </w:r>
          </w:p>
        </w:tc>
        <w:tc>
          <w:tcPr>
            <w:tcW w:type="dxa" w:w="2860"/>
            <w:tcMar>
              <w:top w:w="90" w:type="dxa"/>
              <w:start w:w="120" w:type="dxa"/>
              <w:bottom w:w="90" w:type="dxa"/>
              <w:end w:w="120" w:type="dxa"/>
            </w:tcMar>
            <w:shd w:fill="006B4F"/>
            <w:vAlign w:val="center"/>
          </w:tcPr>
          <w:p>
            <w:pPr>
              <w:spacing w:after="0"/>
              <w:jc w:val="left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Observações / data</w:t>
            </w:r>
          </w:p>
        </w:tc>
      </w:tr>
      <w:tr>
        <w:tc>
          <w:tcPr>
            <w:tcW w:type="dxa" w:w="6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Century Gothic" w:hAnsi="Century Gothic"/>
                <w:b/>
                <w:color w:val="004A38"/>
                <w:sz w:val="17"/>
              </w:rPr>
              <w:t>1</w:t>
            </w:r>
          </w:p>
        </w:tc>
        <w:tc>
          <w:tcPr>
            <w:tcW w:type="dxa" w:w="42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Century Gothic" w:hAnsi="Century Gothic"/>
                <w:b w:val="0"/>
                <w:sz w:val="17"/>
              </w:rPr>
              <w:t>Resumo mensal da folha dos servidores vinculados ao RPPS</w:t>
            </w:r>
          </w:p>
        </w:tc>
        <w:tc>
          <w:tcPr>
            <w:tcW w:type="dxa" w:w="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Century Gothic" w:hAnsi="Century Gothic"/>
                <w:b w:val="0"/>
                <w:sz w:val="17"/>
              </w:rPr>
              <w:t>☐</w:t>
            </w:r>
          </w:p>
        </w:tc>
        <w:tc>
          <w:tcPr>
            <w:tcW w:type="dxa" w:w="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Century Gothic" w:hAnsi="Century Gothic"/>
                <w:b w:val="0"/>
                <w:sz w:val="17"/>
              </w:rPr>
              <w:t>☐</w:t>
            </w:r>
          </w:p>
        </w:tc>
        <w:tc>
          <w:tcPr>
            <w:tcW w:type="dxa" w:w="28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Century Gothic" w:hAnsi="Century Gothic"/>
                <w:b w:val="0"/>
                <w:sz w:val="17"/>
              </w:rPr>
            </w:r>
          </w:p>
        </w:tc>
      </w:tr>
      <w:tr>
        <w:tc>
          <w:tcPr>
            <w:tcW w:type="dxa" w:w="650"/>
            <w:vAlign w:val="center"/>
            <w:shd w:fill="F5F8F6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Century Gothic" w:hAnsi="Century Gothic"/>
                <w:b/>
                <w:color w:val="004A38"/>
                <w:sz w:val="17"/>
              </w:rPr>
              <w:t>2</w:t>
            </w:r>
          </w:p>
        </w:tc>
        <w:tc>
          <w:tcPr>
            <w:tcW w:type="dxa" w:w="4250"/>
            <w:vAlign w:val="center"/>
            <w:shd w:fill="F5F8F6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Century Gothic" w:hAnsi="Century Gothic"/>
                <w:b w:val="0"/>
                <w:sz w:val="17"/>
              </w:rPr>
              <w:t>Programa de contribuição e alíquotas devidas</w:t>
            </w:r>
          </w:p>
        </w:tc>
        <w:tc>
          <w:tcPr>
            <w:tcW w:type="dxa" w:w="800"/>
            <w:vAlign w:val="center"/>
            <w:shd w:fill="F5F8F6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Century Gothic" w:hAnsi="Century Gothic"/>
                <w:b w:val="0"/>
                <w:sz w:val="17"/>
              </w:rPr>
              <w:t>☐</w:t>
            </w:r>
          </w:p>
        </w:tc>
        <w:tc>
          <w:tcPr>
            <w:tcW w:type="dxa" w:w="800"/>
            <w:vAlign w:val="center"/>
            <w:shd w:fill="F5F8F6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Century Gothic" w:hAnsi="Century Gothic"/>
                <w:b w:val="0"/>
                <w:sz w:val="17"/>
              </w:rPr>
              <w:t>☐</w:t>
            </w:r>
          </w:p>
        </w:tc>
        <w:tc>
          <w:tcPr>
            <w:tcW w:type="dxa" w:w="2860"/>
            <w:vAlign w:val="center"/>
            <w:shd w:fill="F5F8F6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Century Gothic" w:hAnsi="Century Gothic"/>
                <w:b w:val="0"/>
                <w:sz w:val="17"/>
              </w:rPr>
            </w:r>
          </w:p>
        </w:tc>
      </w:tr>
      <w:tr>
        <w:tc>
          <w:tcPr>
            <w:tcW w:type="dxa" w:w="6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Century Gothic" w:hAnsi="Century Gothic"/>
                <w:b/>
                <w:color w:val="004A38"/>
                <w:sz w:val="17"/>
              </w:rPr>
              <w:t>3</w:t>
            </w:r>
          </w:p>
        </w:tc>
        <w:tc>
          <w:tcPr>
            <w:tcW w:type="dxa" w:w="42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Century Gothic" w:hAnsi="Century Gothic"/>
                <w:b w:val="0"/>
                <w:sz w:val="17"/>
              </w:rPr>
              <w:t>Guias de recolhimento das obrigações previdenciárias</w:t>
            </w:r>
          </w:p>
        </w:tc>
        <w:tc>
          <w:tcPr>
            <w:tcW w:type="dxa" w:w="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Century Gothic" w:hAnsi="Century Gothic"/>
                <w:b w:val="0"/>
                <w:sz w:val="17"/>
              </w:rPr>
              <w:t>☐</w:t>
            </w:r>
          </w:p>
        </w:tc>
        <w:tc>
          <w:tcPr>
            <w:tcW w:type="dxa" w:w="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Century Gothic" w:hAnsi="Century Gothic"/>
                <w:b w:val="0"/>
                <w:sz w:val="17"/>
              </w:rPr>
              <w:t>☐</w:t>
            </w:r>
          </w:p>
        </w:tc>
        <w:tc>
          <w:tcPr>
            <w:tcW w:type="dxa" w:w="28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Century Gothic" w:hAnsi="Century Gothic"/>
                <w:b w:val="0"/>
                <w:sz w:val="17"/>
              </w:rPr>
            </w:r>
          </w:p>
        </w:tc>
      </w:tr>
      <w:tr>
        <w:tc>
          <w:tcPr>
            <w:tcW w:type="dxa" w:w="650"/>
            <w:vAlign w:val="center"/>
            <w:shd w:fill="F5F8F6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Century Gothic" w:hAnsi="Century Gothic"/>
                <w:b/>
                <w:color w:val="004A38"/>
                <w:sz w:val="17"/>
              </w:rPr>
              <w:t>4</w:t>
            </w:r>
          </w:p>
        </w:tc>
        <w:tc>
          <w:tcPr>
            <w:tcW w:type="dxa" w:w="4250"/>
            <w:vAlign w:val="center"/>
            <w:shd w:fill="F5F8F6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Century Gothic" w:hAnsi="Century Gothic"/>
                <w:b w:val="0"/>
                <w:sz w:val="17"/>
              </w:rPr>
              <w:t>Guias ou documentos de transferências financeiras concedidas</w:t>
            </w:r>
          </w:p>
        </w:tc>
        <w:tc>
          <w:tcPr>
            <w:tcW w:type="dxa" w:w="800"/>
            <w:vAlign w:val="center"/>
            <w:shd w:fill="F5F8F6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Century Gothic" w:hAnsi="Century Gothic"/>
                <w:b w:val="0"/>
                <w:sz w:val="17"/>
              </w:rPr>
              <w:t>☐</w:t>
            </w:r>
          </w:p>
        </w:tc>
        <w:tc>
          <w:tcPr>
            <w:tcW w:type="dxa" w:w="800"/>
            <w:vAlign w:val="center"/>
            <w:shd w:fill="F5F8F6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Century Gothic" w:hAnsi="Century Gothic"/>
                <w:b w:val="0"/>
                <w:sz w:val="17"/>
              </w:rPr>
              <w:t>☐</w:t>
            </w:r>
          </w:p>
        </w:tc>
        <w:tc>
          <w:tcPr>
            <w:tcW w:type="dxa" w:w="2860"/>
            <w:vAlign w:val="center"/>
            <w:shd w:fill="F5F8F6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Century Gothic" w:hAnsi="Century Gothic"/>
                <w:b w:val="0"/>
                <w:sz w:val="17"/>
              </w:rPr>
            </w:r>
          </w:p>
        </w:tc>
      </w:tr>
      <w:tr>
        <w:tc>
          <w:tcPr>
            <w:tcW w:type="dxa" w:w="6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Century Gothic" w:hAnsi="Century Gothic"/>
                <w:b/>
                <w:color w:val="004A38"/>
                <w:sz w:val="17"/>
              </w:rPr>
              <w:t>5</w:t>
            </w:r>
          </w:p>
        </w:tc>
        <w:tc>
          <w:tcPr>
            <w:tcW w:type="dxa" w:w="42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Century Gothic" w:hAnsi="Century Gothic"/>
                <w:b w:val="0"/>
                <w:sz w:val="17"/>
              </w:rPr>
              <w:t>Demonstrativo da despesa por categoria, grupo ou elemento</w:t>
            </w:r>
          </w:p>
        </w:tc>
        <w:tc>
          <w:tcPr>
            <w:tcW w:type="dxa" w:w="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Century Gothic" w:hAnsi="Century Gothic"/>
                <w:b w:val="0"/>
                <w:sz w:val="17"/>
              </w:rPr>
              <w:t>☐</w:t>
            </w:r>
          </w:p>
        </w:tc>
        <w:tc>
          <w:tcPr>
            <w:tcW w:type="dxa" w:w="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Century Gothic" w:hAnsi="Century Gothic"/>
                <w:b w:val="0"/>
                <w:sz w:val="17"/>
              </w:rPr>
              <w:t>☐</w:t>
            </w:r>
          </w:p>
        </w:tc>
        <w:tc>
          <w:tcPr>
            <w:tcW w:type="dxa" w:w="28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Century Gothic" w:hAnsi="Century Gothic"/>
                <w:b w:val="0"/>
                <w:sz w:val="17"/>
              </w:rPr>
            </w:r>
          </w:p>
        </w:tc>
      </w:tr>
      <w:tr>
        <w:tc>
          <w:tcPr>
            <w:tcW w:type="dxa" w:w="650"/>
            <w:vAlign w:val="center"/>
            <w:shd w:fill="F5F8F6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Century Gothic" w:hAnsi="Century Gothic"/>
                <w:b/>
                <w:color w:val="004A38"/>
                <w:sz w:val="17"/>
              </w:rPr>
              <w:t>6</w:t>
            </w:r>
          </w:p>
        </w:tc>
        <w:tc>
          <w:tcPr>
            <w:tcW w:type="dxa" w:w="4250"/>
            <w:vAlign w:val="center"/>
            <w:shd w:fill="F5F8F6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Century Gothic" w:hAnsi="Century Gothic"/>
                <w:b w:val="0"/>
                <w:sz w:val="17"/>
              </w:rPr>
              <w:t>Demonstrativo de ingressos e desembolsos extraorçamentários</w:t>
            </w:r>
          </w:p>
        </w:tc>
        <w:tc>
          <w:tcPr>
            <w:tcW w:type="dxa" w:w="800"/>
            <w:vAlign w:val="center"/>
            <w:shd w:fill="F5F8F6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Century Gothic" w:hAnsi="Century Gothic"/>
                <w:b w:val="0"/>
                <w:sz w:val="17"/>
              </w:rPr>
              <w:t>☐</w:t>
            </w:r>
          </w:p>
        </w:tc>
        <w:tc>
          <w:tcPr>
            <w:tcW w:type="dxa" w:w="800"/>
            <w:vAlign w:val="center"/>
            <w:shd w:fill="F5F8F6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Century Gothic" w:hAnsi="Century Gothic"/>
                <w:b w:val="0"/>
                <w:sz w:val="17"/>
              </w:rPr>
              <w:t>☐</w:t>
            </w:r>
          </w:p>
        </w:tc>
        <w:tc>
          <w:tcPr>
            <w:tcW w:type="dxa" w:w="2860"/>
            <w:vAlign w:val="center"/>
            <w:shd w:fill="F5F8F6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Century Gothic" w:hAnsi="Century Gothic"/>
                <w:b w:val="0"/>
                <w:sz w:val="17"/>
              </w:rPr>
            </w:r>
          </w:p>
        </w:tc>
      </w:tr>
      <w:tr>
        <w:tc>
          <w:tcPr>
            <w:tcW w:type="dxa" w:w="6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Century Gothic" w:hAnsi="Century Gothic"/>
                <w:b/>
                <w:color w:val="004A38"/>
                <w:sz w:val="17"/>
              </w:rPr>
              <w:t>7</w:t>
            </w:r>
          </w:p>
        </w:tc>
        <w:tc>
          <w:tcPr>
            <w:tcW w:type="dxa" w:w="42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Century Gothic" w:hAnsi="Century Gothic"/>
                <w:b w:val="0"/>
                <w:sz w:val="17"/>
              </w:rPr>
              <w:t>Demonstrativo da receita por rubrica e fonte do RPPS</w:t>
            </w:r>
          </w:p>
        </w:tc>
        <w:tc>
          <w:tcPr>
            <w:tcW w:type="dxa" w:w="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Century Gothic" w:hAnsi="Century Gothic"/>
                <w:b w:val="0"/>
                <w:sz w:val="17"/>
              </w:rPr>
              <w:t>☐</w:t>
            </w:r>
          </w:p>
        </w:tc>
        <w:tc>
          <w:tcPr>
            <w:tcW w:type="dxa" w:w="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Century Gothic" w:hAnsi="Century Gothic"/>
                <w:b w:val="0"/>
                <w:sz w:val="17"/>
              </w:rPr>
              <w:t>☐</w:t>
            </w:r>
          </w:p>
        </w:tc>
        <w:tc>
          <w:tcPr>
            <w:tcW w:type="dxa" w:w="28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Century Gothic" w:hAnsi="Century Gothic"/>
                <w:b w:val="0"/>
                <w:sz w:val="17"/>
              </w:rPr>
            </w:r>
          </w:p>
        </w:tc>
      </w:tr>
      <w:tr>
        <w:tc>
          <w:tcPr>
            <w:tcW w:type="dxa" w:w="650"/>
            <w:vAlign w:val="center"/>
            <w:shd w:fill="F5F8F6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Century Gothic" w:hAnsi="Century Gothic"/>
                <w:b/>
                <w:color w:val="004A38"/>
                <w:sz w:val="17"/>
              </w:rPr>
              <w:t>8</w:t>
            </w:r>
          </w:p>
        </w:tc>
        <w:tc>
          <w:tcPr>
            <w:tcW w:type="dxa" w:w="4250"/>
            <w:vAlign w:val="center"/>
            <w:shd w:fill="F5F8F6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Century Gothic" w:hAnsi="Century Gothic"/>
                <w:b w:val="0"/>
                <w:sz w:val="17"/>
              </w:rPr>
              <w:t>Demonstrativo das contas do razão</w:t>
            </w:r>
          </w:p>
        </w:tc>
        <w:tc>
          <w:tcPr>
            <w:tcW w:type="dxa" w:w="800"/>
            <w:vAlign w:val="center"/>
            <w:shd w:fill="F5F8F6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Century Gothic" w:hAnsi="Century Gothic"/>
                <w:b w:val="0"/>
                <w:sz w:val="17"/>
              </w:rPr>
              <w:t>☐</w:t>
            </w:r>
          </w:p>
        </w:tc>
        <w:tc>
          <w:tcPr>
            <w:tcW w:type="dxa" w:w="800"/>
            <w:vAlign w:val="center"/>
            <w:shd w:fill="F5F8F6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Century Gothic" w:hAnsi="Century Gothic"/>
                <w:b w:val="0"/>
                <w:sz w:val="17"/>
              </w:rPr>
              <w:t>☐</w:t>
            </w:r>
          </w:p>
        </w:tc>
        <w:tc>
          <w:tcPr>
            <w:tcW w:type="dxa" w:w="2860"/>
            <w:vAlign w:val="center"/>
            <w:shd w:fill="F5F8F6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Century Gothic" w:hAnsi="Century Gothic"/>
                <w:b w:val="0"/>
                <w:sz w:val="17"/>
              </w:rPr>
            </w:r>
          </w:p>
        </w:tc>
      </w:tr>
      <w:tr>
        <w:tc>
          <w:tcPr>
            <w:tcW w:type="dxa" w:w="6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Century Gothic" w:hAnsi="Century Gothic"/>
                <w:b/>
                <w:color w:val="004A38"/>
                <w:sz w:val="17"/>
              </w:rPr>
              <w:t>9</w:t>
            </w:r>
          </w:p>
        </w:tc>
        <w:tc>
          <w:tcPr>
            <w:tcW w:type="dxa" w:w="42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Century Gothic" w:hAnsi="Century Gothic"/>
                <w:b w:val="0"/>
                <w:sz w:val="17"/>
              </w:rPr>
              <w:t>DIPR e demais informações disponíveis no CADPREV</w:t>
            </w:r>
          </w:p>
        </w:tc>
        <w:tc>
          <w:tcPr>
            <w:tcW w:type="dxa" w:w="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Century Gothic" w:hAnsi="Century Gothic"/>
                <w:b w:val="0"/>
                <w:sz w:val="17"/>
              </w:rPr>
              <w:t>☐</w:t>
            </w:r>
          </w:p>
        </w:tc>
        <w:tc>
          <w:tcPr>
            <w:tcW w:type="dxa" w:w="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Century Gothic" w:hAnsi="Century Gothic"/>
                <w:b w:val="0"/>
                <w:sz w:val="17"/>
              </w:rPr>
              <w:t>☐</w:t>
            </w:r>
          </w:p>
        </w:tc>
        <w:tc>
          <w:tcPr>
            <w:tcW w:type="dxa" w:w="28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Century Gothic" w:hAnsi="Century Gothic"/>
                <w:b w:val="0"/>
                <w:sz w:val="17"/>
              </w:rPr>
            </w:r>
          </w:p>
        </w:tc>
      </w:tr>
      <w:tr>
        <w:tc>
          <w:tcPr>
            <w:tcW w:type="dxa" w:w="650"/>
            <w:vAlign w:val="center"/>
            <w:shd w:fill="F5F8F6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Century Gothic" w:hAnsi="Century Gothic"/>
                <w:b/>
                <w:color w:val="004A38"/>
                <w:sz w:val="17"/>
              </w:rPr>
              <w:t>10</w:t>
            </w:r>
          </w:p>
        </w:tc>
        <w:tc>
          <w:tcPr>
            <w:tcW w:type="dxa" w:w="4250"/>
            <w:vAlign w:val="center"/>
            <w:shd w:fill="F5F8F6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Century Gothic" w:hAnsi="Century Gothic"/>
                <w:b w:val="0"/>
                <w:sz w:val="17"/>
              </w:rPr>
              <w:t>Relatório atual do período</w:t>
            </w:r>
          </w:p>
        </w:tc>
        <w:tc>
          <w:tcPr>
            <w:tcW w:type="dxa" w:w="800"/>
            <w:vAlign w:val="center"/>
            <w:shd w:fill="F5F8F6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Century Gothic" w:hAnsi="Century Gothic"/>
                <w:b w:val="0"/>
                <w:sz w:val="17"/>
              </w:rPr>
              <w:t>☐</w:t>
            </w:r>
          </w:p>
        </w:tc>
        <w:tc>
          <w:tcPr>
            <w:tcW w:type="dxa" w:w="800"/>
            <w:vAlign w:val="center"/>
            <w:shd w:fill="F5F8F6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Century Gothic" w:hAnsi="Century Gothic"/>
                <w:b w:val="0"/>
                <w:sz w:val="17"/>
              </w:rPr>
              <w:t>☐</w:t>
            </w:r>
          </w:p>
        </w:tc>
        <w:tc>
          <w:tcPr>
            <w:tcW w:type="dxa" w:w="2860"/>
            <w:vAlign w:val="center"/>
            <w:shd w:fill="F5F8F6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Century Gothic" w:hAnsi="Century Gothic"/>
                <w:b w:val="0"/>
                <w:sz w:val="17"/>
              </w:rPr>
            </w:r>
          </w:p>
        </w:tc>
      </w:tr>
      <w:tr>
        <w:tc>
          <w:tcPr>
            <w:tcW w:type="dxa" w:w="6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Century Gothic" w:hAnsi="Century Gothic"/>
                <w:b/>
                <w:color w:val="004A38"/>
                <w:sz w:val="17"/>
              </w:rPr>
              <w:t>11</w:t>
            </w:r>
          </w:p>
        </w:tc>
        <w:tc>
          <w:tcPr>
            <w:tcW w:type="dxa" w:w="42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Century Gothic" w:hAnsi="Century Gothic"/>
                <w:b w:val="0"/>
                <w:sz w:val="17"/>
              </w:rPr>
              <w:t>Termos, legislação autorizativa e extratos de parcelamento</w:t>
            </w:r>
          </w:p>
        </w:tc>
        <w:tc>
          <w:tcPr>
            <w:tcW w:type="dxa" w:w="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Century Gothic" w:hAnsi="Century Gothic"/>
                <w:b w:val="0"/>
                <w:sz w:val="17"/>
              </w:rPr>
              <w:t>☐</w:t>
            </w:r>
          </w:p>
        </w:tc>
        <w:tc>
          <w:tcPr>
            <w:tcW w:type="dxa" w:w="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Century Gothic" w:hAnsi="Century Gothic"/>
                <w:b w:val="0"/>
                <w:sz w:val="17"/>
              </w:rPr>
              <w:t>☐</w:t>
            </w:r>
          </w:p>
        </w:tc>
        <w:tc>
          <w:tcPr>
            <w:tcW w:type="dxa" w:w="28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Century Gothic" w:hAnsi="Century Gothic"/>
                <w:b w:val="0"/>
                <w:sz w:val="17"/>
              </w:rPr>
            </w:r>
          </w:p>
        </w:tc>
      </w:tr>
    </w:tbl>
    <w:p>
      <w:pPr>
        <w:pStyle w:val="Heading1"/>
      </w:pPr>
      <w:r>
        <w:t>Critério mínimo para iniciar a análise</w:t>
      </w:r>
    </w:p>
    <w:p>
      <w:pPr>
        <w:spacing w:after="120" w:line="300" w:lineRule="auto"/>
        <w:ind w:left="173" w:right="173"/>
        <w:shd w:fill="FFF4D6"/>
        <w:pBdr>
          <w:left w:val="single" w:sz="18" w:space="8" w:color="D9A520"/>
        </w:pBdr>
      </w:pPr>
      <w:r>
        <w:rPr>
          <w:rFonts w:ascii="Century Gothic" w:hAnsi="Century Gothic"/>
          <w:b/>
          <w:color w:val="004A38"/>
          <w:sz w:val="20"/>
        </w:rPr>
        <w:t xml:space="preserve">A análise deve começar somente após a identificação do período, das entidades envolvidas e das fontes disponíveis. </w:t>
      </w:r>
      <w:r>
        <w:rPr>
          <w:rFonts w:ascii="Century Gothic" w:hAnsi="Century Gothic"/>
          <w:color w:val="004A38"/>
          <w:sz w:val="20"/>
        </w:rPr>
        <w:t>Ausências documentais relevantes devem ser registradas como limitação de escopo, sem que a IA ou o auditor presuma valores não evidenciados.</w:t>
      </w:r>
    </w:p>
    <w:p>
      <w:pPr>
        <w:pStyle w:val="SmallNote"/>
      </w:pPr>
      <w:r>
        <w:t>Material de apoio pedagógico — sujeito à validação do auditor responsável e à atualização das normas aplicáveis.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81" w:right="1440" w:bottom="1181" w:left="1440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Century Gothic" w:hAnsi="Century Gothic"/>
        <w:color w:val="5E6C66"/>
        <w:sz w:val="17"/>
      </w:rPr>
      <w:t>ELOS · Módulo 1 — Contabilidade e Auditoria de RPPS</w:t>
    </w:r>
  </w:p>
  <w:p>
    <w:pPr>
      <w:jc w:val="right"/>
    </w:pPr>
    <w:r>
      <w:rPr>
        <w:rFonts w:ascii="Century Gothic" w:hAnsi="Century Gothic"/>
        <w:color w:val="5E6C66"/>
        <w:sz w:val="17"/>
      </w:rPr>
      <w:t xml:space="preserve">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960120" cy="559979"/>
          <wp:docPr id="1" name="Picture 1" descr="Logomarca Elos Consultoria e Treinamento" title="Elos Consultoria e Treinament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elos-ofici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120" cy="55997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31">
    <w:nsid w:val="45A11B31"/>
    <w:multiLevelType w:val="singleLevel"/>
    <w:lvl w:ilvl="0">
      <w:start w:val="1"/>
      <w:numFmt w:val="decimal"/>
      <w:lvlText w:val="%1."/>
      <w:suff w:val="space"/>
      <w:pPr>
        <w:tabs>
          <w:tab w:val="num" w:pos="540"/>
        </w:tabs>
        <w:ind w:left="540" w:hanging="270"/>
      </w:pPr>
      <w:rPr>
        <w:rFonts w:ascii="Century Gothic" w:hAnsi="Century Gothic"/>
        <w:color w:val="006B4F"/>
        <w:b/>
      </w:rPr>
    </w:lvl>
  </w:abstractNum>
  <w:num w:numId="3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entury Gothic" w:hAnsi="Century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276" w:lineRule="auto"/>
      <w:outlineLvl w:val="0"/>
    </w:pPr>
    <w:rPr>
      <w:rFonts w:asciiTheme="majorHAnsi" w:eastAsiaTheme="majorEastAsia" w:hAnsiTheme="majorHAnsi" w:cstheme="majorBidi" w:ascii="Century Gothic" w:hAnsi="Century Gothic"/>
      <w:b/>
      <w:bCs/>
      <w:color w:val="006B4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276" w:lineRule="auto"/>
      <w:outlineLvl w:val="1"/>
    </w:pPr>
    <w:rPr>
      <w:rFonts w:asciiTheme="majorHAnsi" w:eastAsiaTheme="majorEastAsia" w:hAnsiTheme="majorHAnsi" w:cstheme="majorBidi" w:ascii="Century Gothic" w:hAnsi="Century Gothic"/>
      <w:b/>
      <w:bCs/>
      <w:color w:val="006B4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276" w:lineRule="auto"/>
      <w:outlineLvl w:val="2"/>
    </w:pPr>
    <w:rPr>
      <w:rFonts w:asciiTheme="majorHAnsi" w:eastAsiaTheme="majorEastAsia" w:hAnsiTheme="majorHAnsi" w:cstheme="majorBidi" w:ascii="Century Gothic" w:hAnsi="Century Gothic"/>
      <w:b/>
      <w:bCs/>
      <w:color w:val="004A3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temTitle">
    <w:name w:val="Item Title"/>
    <w:pPr>
      <w:keepNext/>
      <w:spacing w:before="160" w:after="60" w:line="300" w:lineRule="auto"/>
    </w:pPr>
    <w:rPr>
      <w:rFonts w:ascii="Century Gothic" w:hAnsi="Century Gothic"/>
      <w:b/>
      <w:color w:val="004A38"/>
      <w:sz w:val="22"/>
    </w:rPr>
  </w:style>
  <w:style w:type="paragraph" w:customStyle="1" w:styleId="ItemMeta">
    <w:name w:val="Item Meta"/>
    <w:pPr>
      <w:keepNext/>
      <w:spacing w:after="40" w:line="276" w:lineRule="auto"/>
    </w:pPr>
    <w:rPr>
      <w:rFonts w:ascii="Century Gothic" w:hAnsi="Century Gothic"/>
      <w:color w:val="5E6C66"/>
      <w:sz w:val="19"/>
    </w:rPr>
  </w:style>
  <w:style w:type="paragraph" w:customStyle="1" w:styleId="ItemPurpose">
    <w:name w:val="Item Purpose"/>
    <w:pPr>
      <w:spacing w:after="140" w:line="288" w:lineRule="auto"/>
    </w:pPr>
    <w:rPr>
      <w:rFonts w:ascii="Century Gothic" w:hAnsi="Century Gothic"/>
      <w:sz w:val="20"/>
    </w:rPr>
  </w:style>
  <w:style w:type="paragraph" w:customStyle="1" w:styleId="SmallNote">
    <w:name w:val="Small Note"/>
    <w:pPr>
      <w:spacing w:after="60" w:line="264" w:lineRule="auto"/>
    </w:pPr>
    <w:rPr>
      <w:rFonts w:ascii="Century Gothic" w:hAnsi="Century Gothic"/>
      <w:color w:val="5E6C66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